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44" w:rsidRDefault="008A5644" w:rsidP="008A5644">
      <w:pPr>
        <w:pStyle w:val="Title"/>
        <w:spacing w:after="120"/>
      </w:pPr>
      <w:bookmarkStart w:id="0" w:name="_GoBack"/>
      <w:bookmarkEnd w:id="0"/>
      <w:r>
        <w:t>Death, Sex, and the Body: Phenomenology and Foucault</w:t>
      </w:r>
      <w:r>
        <w:tab/>
      </w:r>
      <w:r>
        <w:tab/>
      </w:r>
      <w:r>
        <w:tab/>
        <w:t>Prof. Boedeker</w:t>
      </w:r>
    </w:p>
    <w:p w:rsidR="008A5644" w:rsidRDefault="008A5644" w:rsidP="008A5644">
      <w:pPr>
        <w:spacing w:after="120"/>
        <w:jc w:val="center"/>
        <w:rPr>
          <w:bCs/>
        </w:rPr>
      </w:pPr>
      <w:r>
        <w:rPr>
          <w:b/>
          <w:bCs/>
        </w:rPr>
        <w:t xml:space="preserve">Handout/worksheet on </w:t>
      </w:r>
      <w:r>
        <w:rPr>
          <w:b/>
          <w:bCs/>
          <w:i/>
          <w:iCs/>
        </w:rPr>
        <w:t>Being and Time</w:t>
      </w:r>
      <w:r>
        <w:rPr>
          <w:b/>
          <w:bCs/>
        </w:rPr>
        <w:t xml:space="preserve"> sections </w:t>
      </w:r>
      <w:r w:rsidR="00A1146B">
        <w:rPr>
          <w:b/>
          <w:bCs/>
        </w:rPr>
        <w:t>39</w:t>
      </w:r>
      <w:r w:rsidR="00CB4758">
        <w:rPr>
          <w:b/>
          <w:bCs/>
        </w:rPr>
        <w:t>-41</w:t>
      </w:r>
    </w:p>
    <w:p w:rsidR="005D4CA7" w:rsidRPr="00182F42" w:rsidRDefault="005D4CA7" w:rsidP="005D4CA7">
      <w:pPr>
        <w:ind w:firstLine="360"/>
        <w:jc w:val="center"/>
      </w:pPr>
      <w:r>
        <w:t>Chapter Six: Dasein’s being as care</w:t>
      </w:r>
    </w:p>
    <w:p w:rsidR="005D4CA7" w:rsidRPr="005D4CA7" w:rsidRDefault="005D4CA7" w:rsidP="005D4CA7">
      <w:pPr>
        <w:spacing w:line="360" w:lineRule="auto"/>
        <w:ind w:firstLine="360"/>
        <w:jc w:val="center"/>
        <w:rPr>
          <w:iCs/>
        </w:rPr>
      </w:pPr>
      <w:r w:rsidRPr="005D4CA7">
        <w:rPr>
          <w:iCs/>
          <w:w w:val="95"/>
        </w:rPr>
        <w:t>§</w:t>
      </w:r>
      <w:r w:rsidRPr="005D4CA7">
        <w:rPr>
          <w:iCs/>
        </w:rPr>
        <w:t xml:space="preserve">39. The question of the </w:t>
      </w:r>
      <w:proofErr w:type="spellStart"/>
      <w:r w:rsidRPr="005D4CA7">
        <w:rPr>
          <w:iCs/>
        </w:rPr>
        <w:t>originary</w:t>
      </w:r>
      <w:proofErr w:type="spellEnd"/>
      <w:r w:rsidRPr="005D4CA7">
        <w:rPr>
          <w:iCs/>
        </w:rPr>
        <w:t xml:space="preserve"> completeness of </w:t>
      </w:r>
      <w:proofErr w:type="spellStart"/>
      <w:r w:rsidRPr="005D4CA7">
        <w:rPr>
          <w:iCs/>
        </w:rPr>
        <w:t>Dasein’s</w:t>
      </w:r>
      <w:proofErr w:type="spellEnd"/>
      <w:r w:rsidRPr="005D4CA7">
        <w:rPr>
          <w:iCs/>
        </w:rPr>
        <w:t xml:space="preserve"> complete structure</w:t>
      </w:r>
    </w:p>
    <w:p w:rsidR="0065056F" w:rsidRPr="001D722C" w:rsidRDefault="00C57F99" w:rsidP="0065056F">
      <w:pPr>
        <w:pStyle w:val="Header"/>
        <w:tabs>
          <w:tab w:val="clear" w:pos="4320"/>
          <w:tab w:val="clear" w:pos="8640"/>
        </w:tabs>
        <w:spacing w:after="120"/>
      </w:pPr>
      <w:r>
        <w:t>So far in</w:t>
      </w:r>
      <w:r w:rsidR="0065056F">
        <w:t xml:space="preserve"> Division I, Heidegger </w:t>
      </w:r>
      <w:r>
        <w:t>has focused</w:t>
      </w:r>
      <w:r w:rsidR="0065056F">
        <w:t xml:space="preserve"> primarily on Dasein’s everydayness (= normality = how it is “by and large” = the ‘one’-self = de-</w:t>
      </w:r>
      <w:proofErr w:type="spellStart"/>
      <w:r w:rsidR="000453BB">
        <w:t>clining</w:t>
      </w:r>
      <w:proofErr w:type="spellEnd"/>
      <w:r w:rsidR="000453BB">
        <w:t xml:space="preserve"> = non-</w:t>
      </w:r>
      <w:proofErr w:type="spellStart"/>
      <w:r w:rsidR="000453BB">
        <w:t>selfownership</w:t>
      </w:r>
      <w:proofErr w:type="spellEnd"/>
      <w:r w:rsidR="000453BB">
        <w:t>).  S</w:t>
      </w:r>
      <w:r w:rsidR="0065056F">
        <w:t>ince this examination involves Dasein as it tries to avoid</w:t>
      </w:r>
      <w:r w:rsidR="005978A3">
        <w:t xml:space="preserve">, </w:t>
      </w:r>
      <w:r w:rsidR="00F90C98">
        <w:t xml:space="preserve">flee from, </w:t>
      </w:r>
      <w:r w:rsidR="005978A3">
        <w:t>or turn away from, its death</w:t>
      </w:r>
      <w:r w:rsidR="00D728F8">
        <w:t xml:space="preserve">, this </w:t>
      </w:r>
      <w:r w:rsidR="005978A3">
        <w:t>Divi</w:t>
      </w:r>
      <w:r w:rsidR="00D728F8">
        <w:t xml:space="preserve">sion </w:t>
      </w:r>
      <w:r w:rsidR="0065056F">
        <w:t>doesn’t include</w:t>
      </w:r>
      <w:r w:rsidR="005978A3">
        <w:t xml:space="preserve"> a </w:t>
      </w:r>
      <w:r w:rsidR="00F50CB3">
        <w:t xml:space="preserve">full </w:t>
      </w:r>
      <w:r w:rsidR="005978A3">
        <w:t>discussion of</w:t>
      </w:r>
      <w:r w:rsidR="0065056F">
        <w:t xml:space="preserve"> </w:t>
      </w:r>
      <w:r w:rsidR="005978A3">
        <w:t xml:space="preserve">the crucial possibility </w:t>
      </w:r>
      <w:r w:rsidR="000453BB">
        <w:t xml:space="preserve">of death.  For this reason, </w:t>
      </w:r>
      <w:r w:rsidR="0029477D">
        <w:t>Division I fails to give a</w:t>
      </w:r>
      <w:r w:rsidR="000453BB">
        <w:t xml:space="preserve"> phenomenological</w:t>
      </w:r>
      <w:r w:rsidR="0029477D">
        <w:t xml:space="preserve"> description of a </w:t>
      </w:r>
      <w:r w:rsidR="0029477D">
        <w:rPr>
          <w:i/>
        </w:rPr>
        <w:t xml:space="preserve">whole </w:t>
      </w:r>
      <w:r w:rsidR="0029477D">
        <w:t>Dasein</w:t>
      </w:r>
      <w:r w:rsidR="0065056F">
        <w:t xml:space="preserve">.  In Division II, </w:t>
      </w:r>
      <w:r w:rsidR="00F90C98">
        <w:t xml:space="preserve">however, </w:t>
      </w:r>
      <w:r w:rsidR="0065056F">
        <w:t xml:space="preserve">Heidegger describes </w:t>
      </w:r>
      <w:r w:rsidR="005978A3">
        <w:t>how Dasein can take</w:t>
      </w:r>
      <w:r w:rsidR="0065056F">
        <w:t xml:space="preserve"> “ownership” of it</w:t>
      </w:r>
      <w:r w:rsidR="005978A3">
        <w:t>self by confronting its death</w:t>
      </w:r>
      <w:r w:rsidR="00F90C98">
        <w:t xml:space="preserve"> face-to-face</w:t>
      </w:r>
      <w:r w:rsidR="005978A3">
        <w:t>, hence providing a phenomenological description</w:t>
      </w:r>
      <w:r w:rsidR="000453BB">
        <w:t xml:space="preserve"> of</w:t>
      </w:r>
      <w:r w:rsidR="005978A3">
        <w:t xml:space="preserve"> </w:t>
      </w:r>
      <w:r w:rsidR="001D722C" w:rsidRPr="00F90C98">
        <w:t>whole</w:t>
      </w:r>
      <w:r w:rsidR="005978A3">
        <w:rPr>
          <w:i/>
        </w:rPr>
        <w:t xml:space="preserve"> </w:t>
      </w:r>
      <w:r w:rsidR="005978A3">
        <w:t>Dasein</w:t>
      </w:r>
      <w:r w:rsidR="0029477D">
        <w:t xml:space="preserve"> – indeed, as we’ll see, a Dasein that has </w:t>
      </w:r>
      <w:r w:rsidR="0029477D">
        <w:rPr>
          <w:i/>
        </w:rPr>
        <w:t xml:space="preserve">made itself </w:t>
      </w:r>
      <w:r w:rsidR="0029477D">
        <w:t>whole</w:t>
      </w:r>
      <w:r w:rsidR="005978A3">
        <w:t>.</w:t>
      </w:r>
      <w:r w:rsidR="001D722C">
        <w:t xml:space="preserve">  </w:t>
      </w:r>
    </w:p>
    <w:p w:rsidR="00F50CB3" w:rsidRDefault="0065056F" w:rsidP="0065056F">
      <w:pPr>
        <w:pStyle w:val="Header"/>
        <w:tabs>
          <w:tab w:val="clear" w:pos="4320"/>
          <w:tab w:val="clear" w:pos="8640"/>
        </w:tabs>
        <w:spacing w:after="120"/>
      </w:pPr>
      <w:r>
        <w:t xml:space="preserve">The mood of </w:t>
      </w:r>
      <w:r w:rsidRPr="00DC1F25">
        <w:rPr>
          <w:i/>
        </w:rPr>
        <w:t>anxiety</w:t>
      </w:r>
      <w:r>
        <w:t xml:space="preserve"> will play a crucial role in Division II of </w:t>
      </w:r>
      <w:r>
        <w:rPr>
          <w:i/>
        </w:rPr>
        <w:t>Being and Time</w:t>
      </w:r>
      <w:r>
        <w:t>,</w:t>
      </w:r>
      <w:r w:rsidR="005978A3">
        <w:t xml:space="preserve"> since anxiety is the mood we’re in when we </w:t>
      </w:r>
      <w:r w:rsidR="00F50CB3">
        <w:t>come</w:t>
      </w:r>
      <w:r w:rsidR="005978A3">
        <w:t xml:space="preserve"> face-to-face</w:t>
      </w:r>
      <w:r w:rsidR="00F50CB3">
        <w:t xml:space="preserve"> with our death</w:t>
      </w:r>
      <w:r w:rsidR="005978A3">
        <w:t xml:space="preserve">. </w:t>
      </w:r>
    </w:p>
    <w:p w:rsidR="00D728F8" w:rsidRPr="00FE0082" w:rsidRDefault="00D728F8" w:rsidP="00D728F8">
      <w:pPr>
        <w:pStyle w:val="Header"/>
        <w:tabs>
          <w:tab w:val="clear" w:pos="4320"/>
          <w:tab w:val="clear" w:pos="8640"/>
        </w:tabs>
        <w:spacing w:after="120"/>
      </w:pPr>
      <w:r>
        <w:t xml:space="preserve">A terminological point: in these sections, Heidegger sometimes speaks of </w:t>
      </w:r>
      <w:proofErr w:type="spellStart"/>
      <w:r>
        <w:t>Dasein’s</w:t>
      </w:r>
      <w:proofErr w:type="spellEnd"/>
      <w:r>
        <w:t xml:space="preserve"> “</w:t>
      </w:r>
      <w:proofErr w:type="spellStart"/>
      <w:r>
        <w:t>ownmost</w:t>
      </w:r>
      <w:proofErr w:type="spellEnd"/>
      <w:r>
        <w:t xml:space="preserve"> possibility,” or “</w:t>
      </w:r>
      <w:proofErr w:type="spellStart"/>
      <w:r>
        <w:t>ownmost</w:t>
      </w:r>
      <w:proofErr w:type="spellEnd"/>
      <w:r>
        <w:t xml:space="preserve"> ability-to-be.”  As we’ll see in Division II of </w:t>
      </w:r>
      <w:r>
        <w:rPr>
          <w:i/>
        </w:rPr>
        <w:t>Being and Time</w:t>
      </w:r>
      <w:r>
        <w:t xml:space="preserve">, this is one’s </w:t>
      </w:r>
      <w:r w:rsidR="00737CD2">
        <w:t>own</w:t>
      </w:r>
      <w:r>
        <w:t xml:space="preserve"> death.</w:t>
      </w:r>
    </w:p>
    <w:p w:rsidR="0065056F" w:rsidRDefault="0065056F" w:rsidP="0065056F">
      <w:pPr>
        <w:pStyle w:val="Header"/>
        <w:tabs>
          <w:tab w:val="clear" w:pos="4320"/>
          <w:tab w:val="clear" w:pos="8640"/>
        </w:tabs>
        <w:spacing w:after="120"/>
      </w:pPr>
      <w:r>
        <w:t xml:space="preserve"> </w:t>
      </w:r>
    </w:p>
    <w:p w:rsidR="005D4CA7" w:rsidRPr="005D4CA7" w:rsidRDefault="005D4CA7" w:rsidP="00231EFB">
      <w:pPr>
        <w:spacing w:after="120"/>
        <w:jc w:val="center"/>
        <w:rPr>
          <w:iCs/>
        </w:rPr>
      </w:pPr>
      <w:r w:rsidRPr="005D4CA7">
        <w:t>§</w:t>
      </w:r>
      <w:r w:rsidRPr="005D4CA7">
        <w:rPr>
          <w:iCs/>
        </w:rPr>
        <w:t>40. Anxiety: a fundamental way of being disposed as an extraordinary way in which Dasein is disclosed</w:t>
      </w:r>
    </w:p>
    <w:p w:rsidR="005D4CA7" w:rsidRDefault="0065056F" w:rsidP="005D4CA7">
      <w:pPr>
        <w:pStyle w:val="Header"/>
        <w:tabs>
          <w:tab w:val="clear" w:pos="4320"/>
          <w:tab w:val="clear" w:pos="8640"/>
        </w:tabs>
        <w:spacing w:after="120"/>
      </w:pPr>
      <w:r>
        <w:t>In order to understand the mood that Heid</w:t>
      </w:r>
      <w:r w:rsidR="005D4CA7">
        <w:t>egger calls “anxiety” (</w:t>
      </w:r>
      <w:r w:rsidR="0029477D">
        <w:t>Heidegger’s term is the now-famous</w:t>
      </w:r>
      <w:r w:rsidR="005D4CA7">
        <w:t xml:space="preserve"> “Angst”), </w:t>
      </w:r>
      <w:r>
        <w:t>it’s crucial to distinguish it from a mood that’s in some w</w:t>
      </w:r>
      <w:r w:rsidR="00F50CB3">
        <w:t>ays similar to it: fear (analyzed in §30)</w:t>
      </w:r>
      <w:r>
        <w:t xml:space="preserve">.  </w:t>
      </w:r>
      <w:r w:rsidR="00F90C98">
        <w:t xml:space="preserve">The mood of anxiety is </w:t>
      </w:r>
      <w:r>
        <w:t>extraordinary</w:t>
      </w:r>
      <w:r w:rsidR="00F90C98">
        <w:t xml:space="preserve"> (literally “outside what’s ordinary</w:t>
      </w:r>
      <w:r w:rsidR="00D728F8">
        <w:t>,</w:t>
      </w:r>
      <w:r w:rsidR="00F90C98">
        <w:t>”</w:t>
      </w:r>
      <w:r w:rsidR="00D728F8">
        <w:t xml:space="preserve"> or “normal”</w:t>
      </w:r>
      <w:r w:rsidR="00F90C98">
        <w:t>)</w:t>
      </w:r>
      <w:r>
        <w:t xml:space="preserve">, and, fortunately, for most people, quire rare (p. 190).  </w:t>
      </w:r>
      <w:r w:rsidR="005D4CA7">
        <w:t xml:space="preserve">It is, I think, essentially the same thing as what’s called in psychology an </w:t>
      </w:r>
      <w:r w:rsidR="005D4CA7">
        <w:rPr>
          <w:i/>
        </w:rPr>
        <w:t>acute panic attack</w:t>
      </w:r>
      <w:r w:rsidR="005D4CA7">
        <w:t xml:space="preserve">.  </w:t>
      </w:r>
      <w:r w:rsidR="001E1DD3">
        <w:t xml:space="preserve">Recall from §30, in Heidegger’s description of fear, that each mood has (1) something we’re faced with (or, perhaps better: something that the mood is about); and (2) something, or someone, </w:t>
      </w:r>
      <w:r w:rsidR="001E1DD3">
        <w:rPr>
          <w:i/>
        </w:rPr>
        <w:t xml:space="preserve">for </w:t>
      </w:r>
      <w:r w:rsidR="001E1DD3">
        <w:t xml:space="preserve">whom we’re in that mood.  </w:t>
      </w:r>
      <w:r w:rsidR="00C27340">
        <w:t xml:space="preserve">In ordinary moods, such as fear, what we’re faced with (or what our moods are </w:t>
      </w:r>
      <w:r w:rsidR="00C27340">
        <w:rPr>
          <w:i/>
        </w:rPr>
        <w:t>about</w:t>
      </w:r>
      <w:r w:rsidR="00C27340">
        <w:t>)</w:t>
      </w:r>
      <w:r w:rsidR="00C27340">
        <w:rPr>
          <w:i/>
        </w:rPr>
        <w:t xml:space="preserve"> </w:t>
      </w:r>
      <w:r w:rsidR="00C27340">
        <w:t xml:space="preserve">are </w:t>
      </w:r>
      <w:proofErr w:type="spellStart"/>
      <w:r w:rsidR="00C27340">
        <w:t>intraworldly</w:t>
      </w:r>
      <w:proofErr w:type="spellEnd"/>
      <w:r w:rsidR="00C27340">
        <w:t xml:space="preserve"> entities or other </w:t>
      </w:r>
      <w:proofErr w:type="spellStart"/>
      <w:r w:rsidR="00C27340">
        <w:t>Daseins</w:t>
      </w:r>
      <w:proofErr w:type="spellEnd"/>
      <w:r w:rsidR="00C27340">
        <w:t xml:space="preserve">.  </w:t>
      </w:r>
      <w:r w:rsidR="00D728F8">
        <w:t xml:space="preserve">As </w:t>
      </w:r>
      <w:proofErr w:type="gramStart"/>
      <w:r w:rsidR="00D728F8">
        <w:t>we’ll</w:t>
      </w:r>
      <w:proofErr w:type="gramEnd"/>
      <w:r w:rsidR="00D728F8">
        <w:t xml:space="preserve"> see in this sections, t</w:t>
      </w:r>
      <w:r w:rsidR="00B87931">
        <w:t>hings are quite different with anxiety.</w:t>
      </w:r>
      <w:r w:rsidR="00B87931" w:rsidRPr="00074334">
        <w:t xml:space="preserve"> </w:t>
      </w:r>
      <w:r w:rsidR="00B87931">
        <w:t xml:space="preserve"> </w:t>
      </w:r>
    </w:p>
    <w:p w:rsidR="001E1DD3" w:rsidRDefault="00C27340" w:rsidP="005D4CA7">
      <w:pPr>
        <w:pStyle w:val="Header"/>
        <w:tabs>
          <w:tab w:val="clear" w:pos="4320"/>
          <w:tab w:val="clear" w:pos="8640"/>
        </w:tabs>
        <w:spacing w:after="120"/>
      </w:pPr>
      <w:r>
        <w:rPr>
          <w:i/>
        </w:rPr>
        <w:t>Exercise 1</w:t>
      </w:r>
      <w:r w:rsidR="00074334">
        <w:t xml:space="preserve">: </w:t>
      </w:r>
      <w:r w:rsidR="005D4CA7" w:rsidRPr="00074334">
        <w:t>W</w:t>
      </w:r>
      <w:r w:rsidR="0065056F" w:rsidRPr="00074334">
        <w:t>hat are we faced with in anxiety</w:t>
      </w:r>
      <w:r w:rsidR="005D4CA7" w:rsidRPr="00074334">
        <w:t xml:space="preserve"> (i.e., what is anxiety </w:t>
      </w:r>
      <w:r w:rsidR="005D4CA7" w:rsidRPr="00074334">
        <w:rPr>
          <w:i/>
        </w:rPr>
        <w:t>about</w:t>
      </w:r>
      <w:r w:rsidR="00521978">
        <w:t>);</w:t>
      </w:r>
      <w:r w:rsidR="005D4CA7">
        <w:t xml:space="preserve"> and</w:t>
      </w:r>
      <w:r w:rsidR="0065056F">
        <w:t xml:space="preserve"> what, or who, are we anxious </w:t>
      </w:r>
      <w:r w:rsidR="0065056F">
        <w:rPr>
          <w:i/>
        </w:rPr>
        <w:t>for</w:t>
      </w:r>
      <w:r w:rsidR="00521978">
        <w:t xml:space="preserve"> (pp. 187-188)?</w:t>
      </w:r>
      <w:r w:rsidR="0065056F">
        <w:t xml:space="preserve">  How are these two </w:t>
      </w:r>
      <w:r w:rsidR="00D728F8">
        <w:t>features</w:t>
      </w:r>
      <w:r w:rsidR="0065056F">
        <w:t xml:space="preserve"> of anxiety related (</w:t>
      </w:r>
      <w:r w:rsidR="00F50CB3">
        <w:t xml:space="preserve">see the </w:t>
      </w:r>
      <w:r w:rsidR="0065056F">
        <w:t xml:space="preserve">first sentence in the first </w:t>
      </w:r>
      <w:r w:rsidR="001E1DD3">
        <w:t>full paragraph of p. 188</w:t>
      </w:r>
      <w:r w:rsidR="00F90C98">
        <w:t xml:space="preserve">), and how is this relation different from </w:t>
      </w:r>
      <w:r w:rsidR="00D728F8">
        <w:t xml:space="preserve">that of </w:t>
      </w:r>
      <w:r w:rsidR="00F90C98">
        <w:t>ordinary moods?</w:t>
      </w:r>
    </w:p>
    <w:p w:rsidR="00C27340" w:rsidRDefault="00C27340" w:rsidP="00C27340">
      <w:pPr>
        <w:pStyle w:val="Header"/>
        <w:tabs>
          <w:tab w:val="clear" w:pos="4320"/>
          <w:tab w:val="clear" w:pos="8640"/>
        </w:tabs>
        <w:spacing w:after="120"/>
      </w:pPr>
      <w:r>
        <w:rPr>
          <w:i/>
        </w:rPr>
        <w:t>Exercise 2</w:t>
      </w:r>
      <w:r w:rsidR="005D4CA7">
        <w:t xml:space="preserve">: </w:t>
      </w:r>
      <w:r w:rsidR="001E1DD3">
        <w:t>Recall</w:t>
      </w:r>
      <w:r w:rsidR="0065056F">
        <w:t xml:space="preserve"> that a Dasein’s world </w:t>
      </w:r>
      <w:r w:rsidR="003606DE">
        <w:t xml:space="preserve">does not consists of entities, or things.  Rather, it </w:t>
      </w:r>
      <w:r w:rsidR="0065056F">
        <w:t xml:space="preserve">is the totality of its meaningful </w:t>
      </w:r>
      <w:r w:rsidR="0065056F" w:rsidRPr="00FE0082">
        <w:t>possibilities</w:t>
      </w:r>
      <w:r w:rsidR="001E1DD3">
        <w:t xml:space="preserve">: the </w:t>
      </w:r>
      <w:r w:rsidR="00F90C98">
        <w:t xml:space="preserve">ultimate </w:t>
      </w:r>
      <w:r w:rsidR="001E1DD3">
        <w:t xml:space="preserve">context of what we </w:t>
      </w:r>
      <w:r w:rsidR="001E1DD3">
        <w:rPr>
          <w:i/>
        </w:rPr>
        <w:t xml:space="preserve">can </w:t>
      </w:r>
      <w:r w:rsidR="001E1DD3">
        <w:t xml:space="preserve">do or </w:t>
      </w:r>
      <w:r w:rsidR="001E1DD3">
        <w:rPr>
          <w:i/>
        </w:rPr>
        <w:t xml:space="preserve">can </w:t>
      </w:r>
      <w:r w:rsidR="001E1DD3">
        <w:t>become</w:t>
      </w:r>
      <w:r w:rsidR="0065056F" w:rsidRPr="00FE0082">
        <w:t xml:space="preserve">.  </w:t>
      </w:r>
      <w:r w:rsidR="00F90C98">
        <w:t>Given that this is what our</w:t>
      </w:r>
      <w:r w:rsidR="001E1DD3">
        <w:t xml:space="preserve"> world is, w</w:t>
      </w:r>
      <w:r w:rsidR="0065056F">
        <w:t xml:space="preserve">hat does Heidegger mean when he says that </w:t>
      </w:r>
      <w:r w:rsidR="0065056F" w:rsidRPr="00FE0082">
        <w:t>in anxiety “</w:t>
      </w:r>
      <w:r w:rsidR="0065056F" w:rsidRPr="00FE0082">
        <w:rPr>
          <w:i/>
          <w:iCs/>
        </w:rPr>
        <w:t>the world is disclosed as world</w:t>
      </w:r>
      <w:r w:rsidR="0065056F" w:rsidRPr="00FE0082">
        <w:t>”</w:t>
      </w:r>
      <w:r w:rsidR="005D4CA7">
        <w:t xml:space="preserve"> (p. 188), such that </w:t>
      </w:r>
      <w:r w:rsidR="005D4CA7" w:rsidRPr="00FE0082">
        <w:t xml:space="preserve">“anxiety… discloses </w:t>
      </w:r>
      <w:r w:rsidR="005D4CA7" w:rsidRPr="003606DE">
        <w:t xml:space="preserve">Dasein as </w:t>
      </w:r>
      <w:r w:rsidR="005D4CA7" w:rsidRPr="003606DE">
        <w:rPr>
          <w:i/>
          <w:iCs/>
        </w:rPr>
        <w:t>being-possible</w:t>
      </w:r>
      <w:r w:rsidR="00C14EF2" w:rsidRPr="003606DE">
        <w:t xml:space="preserve"> (</w:t>
      </w:r>
      <w:r w:rsidR="00F90C98">
        <w:t>p. 188):</w:t>
      </w:r>
      <w:r w:rsidR="003606DE" w:rsidRPr="003606DE">
        <w:t xml:space="preserve"> “the </w:t>
      </w:r>
      <w:r w:rsidR="003606DE" w:rsidRPr="003606DE">
        <w:rPr>
          <w:i/>
          <w:iCs/>
        </w:rPr>
        <w:t xml:space="preserve">possibility </w:t>
      </w:r>
      <w:r w:rsidR="003606DE" w:rsidRPr="003606DE">
        <w:t>of ha</w:t>
      </w:r>
      <w:r w:rsidR="005B5E9B">
        <w:t>ndy entiti</w:t>
      </w:r>
      <w:r w:rsidR="00D728F8">
        <w:t>es per se</w:t>
      </w:r>
      <w:r w:rsidR="003606DE" w:rsidRPr="003606DE">
        <w:t>”</w:t>
      </w:r>
      <w:r w:rsidR="00F50CB3">
        <w:t xml:space="preserve"> (p. 187)?</w:t>
      </w:r>
    </w:p>
    <w:p w:rsidR="00521978" w:rsidRDefault="00F50CB3" w:rsidP="00C27340">
      <w:pPr>
        <w:pStyle w:val="Header"/>
        <w:tabs>
          <w:tab w:val="clear" w:pos="4320"/>
          <w:tab w:val="clear" w:pos="8640"/>
        </w:tabs>
        <w:spacing w:after="120"/>
      </w:pPr>
      <w:r>
        <w:t>Since in</w:t>
      </w:r>
      <w:r w:rsidR="00C27340">
        <w:t xml:space="preserve"> anxiety there’s no </w:t>
      </w:r>
      <w:r w:rsidR="00C27340">
        <w:rPr>
          <w:i/>
        </w:rPr>
        <w:t>entity</w:t>
      </w:r>
      <w:r w:rsidR="00C27340">
        <w:t xml:space="preserve">, or </w:t>
      </w:r>
      <w:r w:rsidR="00C27340">
        <w:rPr>
          <w:i/>
        </w:rPr>
        <w:t>thing</w:t>
      </w:r>
      <w:r w:rsidR="00C27340">
        <w:t>, t</w:t>
      </w:r>
      <w:r>
        <w:t xml:space="preserve">hat we’re anxious about, </w:t>
      </w:r>
      <w:r w:rsidR="00C27340">
        <w:t>Heidegger says that when we’re anxious, we’re anxio</w:t>
      </w:r>
      <w:r w:rsidR="00521978">
        <w:t xml:space="preserve">us about “no-thing” (p. 187).  Now </w:t>
      </w:r>
      <w:r w:rsidR="00C27340">
        <w:t xml:space="preserve">Heidegger has sometimes been ridiculed for seeming to say that there’s some </w:t>
      </w:r>
      <w:r>
        <w:t xml:space="preserve">strange kind of </w:t>
      </w:r>
      <w:r w:rsidR="00C27340">
        <w:rPr>
          <w:i/>
        </w:rPr>
        <w:t xml:space="preserve">thing </w:t>
      </w:r>
      <w:r w:rsidR="00C27340">
        <w:t xml:space="preserve">called </w:t>
      </w:r>
      <w:r w:rsidR="00F90C98">
        <w:t xml:space="preserve">“the </w:t>
      </w:r>
      <w:r w:rsidR="00C27340">
        <w:t xml:space="preserve">nothing.”  Obviously, this isn’t what he means.  Rather, we’re anxious </w:t>
      </w:r>
      <w:r w:rsidR="00521978">
        <w:t xml:space="preserve">about the </w:t>
      </w:r>
      <w:r w:rsidR="00D728F8">
        <w:t>fact that</w:t>
      </w:r>
      <w:r w:rsidR="00C27340">
        <w:t xml:space="preserve"> </w:t>
      </w:r>
      <w:r w:rsidR="00D728F8">
        <w:t xml:space="preserve">in anxiety </w:t>
      </w:r>
      <w:r w:rsidR="00C27340">
        <w:t xml:space="preserve">our possibilities </w:t>
      </w:r>
      <w:r w:rsidR="00521978">
        <w:t>get disclosed to us for the first time</w:t>
      </w:r>
      <w:r w:rsidR="00C27340">
        <w:t xml:space="preserve"> </w:t>
      </w:r>
      <w:r w:rsidR="00521978">
        <w:t xml:space="preserve">as </w:t>
      </w:r>
      <w:r w:rsidR="00C27340">
        <w:rPr>
          <w:i/>
        </w:rPr>
        <w:t xml:space="preserve">mere </w:t>
      </w:r>
      <w:r w:rsidR="00C27340">
        <w:t>possibilities.</w:t>
      </w:r>
      <w:r>
        <w:t xml:space="preserve">  In order to alleviate the impression that Heidegger somehow things of the “nothing” as a strange kind of thin</w:t>
      </w:r>
      <w:r w:rsidR="00521978">
        <w:t>g, I hyphenate his term “</w:t>
      </w:r>
      <w:proofErr w:type="spellStart"/>
      <w:r w:rsidR="00521978">
        <w:rPr>
          <w:i/>
        </w:rPr>
        <w:t>Nichts</w:t>
      </w:r>
      <w:proofErr w:type="spellEnd"/>
      <w:r w:rsidR="00521978">
        <w:t>”</w:t>
      </w:r>
      <w:r>
        <w:t xml:space="preserve"> as “no-thing.”</w:t>
      </w:r>
      <w:r w:rsidR="00C27340">
        <w:t xml:space="preserve">  </w:t>
      </w:r>
    </w:p>
    <w:p w:rsidR="00C27340" w:rsidRPr="00C27340" w:rsidRDefault="00521978" w:rsidP="00C27340">
      <w:pPr>
        <w:pStyle w:val="Header"/>
        <w:tabs>
          <w:tab w:val="clear" w:pos="4320"/>
          <w:tab w:val="clear" w:pos="8640"/>
        </w:tabs>
        <w:spacing w:after="120"/>
      </w:pPr>
      <w:r>
        <w:rPr>
          <w:i/>
        </w:rPr>
        <w:t>Exercise 3</w:t>
      </w:r>
      <w:r>
        <w:t>: Why can anxiety “</w:t>
      </w:r>
      <w:r w:rsidR="00C27340" w:rsidRPr="00074334">
        <w:t>arise in the most harmless situations” (p. 189)</w:t>
      </w:r>
      <w:r w:rsidR="00F50CB3">
        <w:t xml:space="preserve">, i.e., in those in which we’re not afraid </w:t>
      </w:r>
      <w:r>
        <w:t xml:space="preserve">of anything </w:t>
      </w:r>
      <w:r w:rsidR="00F50CB3">
        <w:t>at all</w:t>
      </w:r>
      <w:r w:rsidR="00F90C98">
        <w:t>?</w:t>
      </w:r>
    </w:p>
    <w:p w:rsidR="001E1DD3" w:rsidRPr="00F50CB3" w:rsidRDefault="00521978" w:rsidP="0065056F">
      <w:pPr>
        <w:pStyle w:val="Header"/>
        <w:tabs>
          <w:tab w:val="clear" w:pos="4320"/>
          <w:tab w:val="clear" w:pos="8640"/>
        </w:tabs>
        <w:spacing w:after="120"/>
      </w:pPr>
      <w:r>
        <w:rPr>
          <w:i/>
        </w:rPr>
        <w:t>Exercise 4</w:t>
      </w:r>
      <w:r w:rsidR="00C27340">
        <w:t xml:space="preserve">: Recall that anxiety isn’t about entities, but rather about Dasein’s possibilities as </w:t>
      </w:r>
      <w:r w:rsidR="00C27340">
        <w:rPr>
          <w:i/>
        </w:rPr>
        <w:t xml:space="preserve">mere </w:t>
      </w:r>
      <w:r w:rsidR="00C27340">
        <w:t xml:space="preserve">possibilities.  Try to explain in your own words Heidegger’s vivid description </w:t>
      </w:r>
      <w:r w:rsidR="00F50CB3">
        <w:t>of anxiety on p. 186</w:t>
      </w:r>
      <w:r w:rsidR="00C27340">
        <w:t>.</w:t>
      </w:r>
      <w:r w:rsidR="00C27340" w:rsidRPr="003606DE">
        <w:t xml:space="preserve">  </w:t>
      </w:r>
      <w:r w:rsidR="00F90C98">
        <w:t xml:space="preserve">Here, recall from pp. 87-88 in §18 that the </w:t>
      </w:r>
      <w:r w:rsidR="00F90C98">
        <w:rPr>
          <w:i/>
        </w:rPr>
        <w:t xml:space="preserve">meanings </w:t>
      </w:r>
      <w:r w:rsidR="00D728F8">
        <w:t>of handy entities</w:t>
      </w:r>
      <w:r w:rsidR="00F90C98">
        <w:t xml:space="preserve"> consist of what</w:t>
      </w:r>
      <w:r w:rsidR="00D728F8">
        <w:t xml:space="preserve"> they implicate</w:t>
      </w:r>
      <w:r w:rsidR="00F90C98">
        <w:t xml:space="preserve">, i.e., </w:t>
      </w:r>
      <w:r w:rsidR="00D728F8">
        <w:t>the entities that we use them</w:t>
      </w:r>
      <w:r w:rsidR="00F90C98">
        <w:t xml:space="preserve"> ‘with,’ what we use these entities ‘in order to’ accomplish, and what we </w:t>
      </w:r>
      <w:r w:rsidR="00D728F8">
        <w:t>deploy them</w:t>
      </w:r>
      <w:r w:rsidR="00F90C98">
        <w:t xml:space="preserve"> ‘at.’  And the totality of meanings is “meaningfulness.”  Given that this is what Heidegger means by the “meanings” of handy entities, why</w:t>
      </w:r>
      <w:r w:rsidR="00F50CB3">
        <w:t xml:space="preserve"> is it that in anxiety </w:t>
      </w:r>
      <w:r w:rsidR="00D728F8">
        <w:t xml:space="preserve">we’re faced with complete “meaninglessness,” </w:t>
      </w:r>
      <w:r w:rsidR="00F90C98">
        <w:t xml:space="preserve">such </w:t>
      </w:r>
      <w:r w:rsidR="00D728F8">
        <w:t xml:space="preserve">that </w:t>
      </w:r>
      <w:r w:rsidR="00F90C98">
        <w:t>entities</w:t>
      </w:r>
      <w:r w:rsidR="00F50CB3">
        <w:t xml:space="preserve"> </w:t>
      </w:r>
      <w:r w:rsidR="00D728F8">
        <w:t xml:space="preserve">are encountered </w:t>
      </w:r>
      <w:r w:rsidR="00F50CB3">
        <w:t>as “not ‘relevant’ at all” and “utterly w</w:t>
      </w:r>
      <w:r w:rsidR="00E94137">
        <w:t>ithout significance”?</w:t>
      </w:r>
    </w:p>
    <w:p w:rsidR="0065056F" w:rsidRDefault="00521978" w:rsidP="0065056F">
      <w:pPr>
        <w:pStyle w:val="Header"/>
        <w:tabs>
          <w:tab w:val="clear" w:pos="4320"/>
          <w:tab w:val="clear" w:pos="8640"/>
        </w:tabs>
        <w:spacing w:after="120"/>
      </w:pPr>
      <w:r>
        <w:rPr>
          <w:i/>
        </w:rPr>
        <w:t>Exercise 5</w:t>
      </w:r>
      <w:r>
        <w:t>:</w:t>
      </w:r>
      <w:r w:rsidR="005D4CA7">
        <w:t xml:space="preserve"> </w:t>
      </w:r>
      <w:r w:rsidR="005272AB">
        <w:t>Normally</w:t>
      </w:r>
      <w:r w:rsidR="005D4CA7">
        <w:t xml:space="preserve">, we don’t encounter possibilities as </w:t>
      </w:r>
      <w:r w:rsidR="005D4CA7">
        <w:rPr>
          <w:i/>
        </w:rPr>
        <w:t xml:space="preserve">mere </w:t>
      </w:r>
      <w:r w:rsidR="005D4CA7">
        <w:t xml:space="preserve">possibilities, but rather as possibilities </w:t>
      </w:r>
      <w:r w:rsidR="005D4CA7">
        <w:rPr>
          <w:i/>
        </w:rPr>
        <w:t xml:space="preserve">to be </w:t>
      </w:r>
      <w:r w:rsidR="005D4CA7">
        <w:t xml:space="preserve">carried out (or </w:t>
      </w:r>
      <w:r>
        <w:t>“</w:t>
      </w:r>
      <w:r w:rsidR="005D4CA7">
        <w:t>closed in on</w:t>
      </w:r>
      <w:r>
        <w:t>”: brought “closer”</w:t>
      </w:r>
      <w:r w:rsidR="005D4CA7">
        <w:t xml:space="preserve">).  In anxiety, however, no possibility has any particular “hold” on us; all we see is that we </w:t>
      </w:r>
      <w:r w:rsidR="005D4CA7">
        <w:rPr>
          <w:i/>
        </w:rPr>
        <w:t xml:space="preserve">could </w:t>
      </w:r>
      <w:r w:rsidR="005D4CA7">
        <w:t xml:space="preserve">do this or </w:t>
      </w:r>
      <w:r w:rsidR="005D4CA7">
        <w:rPr>
          <w:i/>
        </w:rPr>
        <w:t xml:space="preserve">could </w:t>
      </w:r>
      <w:r w:rsidR="005D4CA7">
        <w:t>do that.  W</w:t>
      </w:r>
      <w:r w:rsidR="00F90C98">
        <w:t>hat’</w:t>
      </w:r>
      <w:r w:rsidR="0065056F">
        <w:t xml:space="preserve">s so disconcerting </w:t>
      </w:r>
      <w:r w:rsidR="005D4CA7">
        <w:t xml:space="preserve">– and anxiety-provoking – </w:t>
      </w:r>
      <w:r w:rsidR="0065056F">
        <w:t xml:space="preserve">about being faced with all of our possibilities </w:t>
      </w:r>
      <w:r w:rsidR="0065056F">
        <w:rPr>
          <w:i/>
        </w:rPr>
        <w:t>as mere possibilities</w:t>
      </w:r>
      <w:r w:rsidR="0065056F">
        <w:t xml:space="preserve">? </w:t>
      </w:r>
    </w:p>
    <w:p w:rsidR="004B2D24" w:rsidRDefault="00C14EF2" w:rsidP="008A5644">
      <w:pPr>
        <w:spacing w:after="120"/>
      </w:pPr>
      <w:r>
        <w:rPr>
          <w:i/>
        </w:rPr>
        <w:t xml:space="preserve">Exercise </w:t>
      </w:r>
      <w:r w:rsidR="004E45A0">
        <w:rPr>
          <w:i/>
        </w:rPr>
        <w:t>6</w:t>
      </w:r>
      <w:r>
        <w:t xml:space="preserve">: </w:t>
      </w:r>
      <w:r w:rsidR="00A32118">
        <w:t>For Heidegger, when we’re</w:t>
      </w:r>
      <w:r w:rsidR="005B5E9B">
        <w:t xml:space="preserve"> “at home” (pp. 188-189</w:t>
      </w:r>
      <w:r w:rsidR="00A32118">
        <w:t>), we dwell at what</w:t>
      </w:r>
      <w:r w:rsidR="005B5E9B">
        <w:t xml:space="preserve"> we’re </w:t>
      </w:r>
      <w:r w:rsidR="005B5E9B" w:rsidRPr="005B5E9B">
        <w:rPr>
          <w:i/>
        </w:rPr>
        <w:t>familiar</w:t>
      </w:r>
      <w:r w:rsidR="005B5E9B">
        <w:t xml:space="preserve"> with</w:t>
      </w:r>
      <w:r w:rsidR="004E45A0">
        <w:t xml:space="preserve"> on an everyday basis</w:t>
      </w:r>
      <w:r w:rsidR="00A32118">
        <w:t xml:space="preserve"> (</w:t>
      </w:r>
      <w:r w:rsidR="00737CD2">
        <w:t>as described, e.g., on p. 54 in §12, p. 76 in §16</w:t>
      </w:r>
      <w:r w:rsidR="00F14FBB">
        <w:t>, pp. 86-87 in §16</w:t>
      </w:r>
      <w:r w:rsidR="00A32118">
        <w:t>, etc.</w:t>
      </w:r>
      <w:r w:rsidR="005B5E9B">
        <w:t>)</w:t>
      </w:r>
      <w:r w:rsidR="00F14FBB">
        <w:t>.</w:t>
      </w:r>
      <w:r w:rsidR="005B5E9B">
        <w:t xml:space="preserve">  </w:t>
      </w:r>
      <w:r w:rsidR="00074334">
        <w:t>Why</w:t>
      </w:r>
      <w:r w:rsidR="00A32118">
        <w:t xml:space="preserve"> is it the case that in anxiety we’re </w:t>
      </w:r>
      <w:r w:rsidR="005B5E9B">
        <w:t xml:space="preserve">“not-at-home,” i.e., </w:t>
      </w:r>
      <w:r w:rsidR="00A32118">
        <w:t xml:space="preserve">we’re </w:t>
      </w:r>
      <w:r w:rsidR="005B5E9B">
        <w:t>beset by “feeling out of place” (sometimes translated as “uncanniness”)?</w:t>
      </w:r>
      <w:r w:rsidR="00A32118">
        <w:t xml:space="preserve">  Try to d</w:t>
      </w:r>
      <w:r w:rsidR="00F90C98">
        <w:t>escribe the phenomenon that Heidegger is trying to indicate with</w:t>
      </w:r>
      <w:r w:rsidR="004E45A0">
        <w:t xml:space="preserve"> these synonymous terms</w:t>
      </w:r>
      <w:r w:rsidR="00A32118">
        <w:t>.</w:t>
      </w:r>
    </w:p>
    <w:p w:rsidR="004E45A0" w:rsidRDefault="004E45A0" w:rsidP="008A5644">
      <w:pPr>
        <w:spacing w:after="120"/>
      </w:pPr>
    </w:p>
    <w:p w:rsidR="00074334" w:rsidRPr="00074334" w:rsidRDefault="00074334" w:rsidP="00231EFB">
      <w:pPr>
        <w:spacing w:line="360" w:lineRule="auto"/>
        <w:jc w:val="center"/>
        <w:rPr>
          <w:iCs/>
        </w:rPr>
      </w:pPr>
      <w:r w:rsidRPr="00074334">
        <w:rPr>
          <w:iCs/>
          <w:w w:val="102"/>
        </w:rPr>
        <w:t>§</w:t>
      </w:r>
      <w:r w:rsidRPr="00074334">
        <w:rPr>
          <w:iCs/>
        </w:rPr>
        <w:t>41. Dasein’s being as care</w:t>
      </w:r>
    </w:p>
    <w:p w:rsidR="00074334" w:rsidRDefault="00074334" w:rsidP="008A5644">
      <w:pPr>
        <w:spacing w:after="120"/>
      </w:pPr>
      <w:r>
        <w:t xml:space="preserve">In this section, Heidegger tries to get to the core of Dasein’s being, </w:t>
      </w:r>
      <w:r w:rsidR="004E45A0">
        <w:t>different aspects of which he has</w:t>
      </w:r>
      <w:r>
        <w:t xml:space="preserve"> been </w:t>
      </w:r>
      <w:r w:rsidR="00A32118">
        <w:t xml:space="preserve">describing </w:t>
      </w:r>
      <w:r>
        <w:t xml:space="preserve">throughout Division I of </w:t>
      </w:r>
      <w:r>
        <w:rPr>
          <w:i/>
        </w:rPr>
        <w:t>Being and Time</w:t>
      </w:r>
      <w:r>
        <w:t xml:space="preserve">.  His answer is that Dasein’s being is </w:t>
      </w:r>
      <w:r>
        <w:rPr>
          <w:i/>
        </w:rPr>
        <w:t>care</w:t>
      </w:r>
      <w:r>
        <w:t>.</w:t>
      </w:r>
      <w:r w:rsidRPr="00074334">
        <w:t xml:space="preserve"> </w:t>
      </w:r>
      <w:r>
        <w:t xml:space="preserve"> Note that this is manifested in the fact that we “take care of” handy equipment and “care for” other persons.</w:t>
      </w:r>
    </w:p>
    <w:p w:rsidR="004E45A0" w:rsidRDefault="004E45A0" w:rsidP="008A5644">
      <w:pPr>
        <w:spacing w:after="120"/>
      </w:pPr>
      <w:r>
        <w:rPr>
          <w:i/>
        </w:rPr>
        <w:t>Exercise 7</w:t>
      </w:r>
      <w:r w:rsidR="00074334">
        <w:t xml:space="preserve">: How do you understand what Heidegger means when he says that our being is care? </w:t>
      </w:r>
    </w:p>
    <w:p w:rsidR="00074334" w:rsidRPr="001F13E4" w:rsidRDefault="004E45A0" w:rsidP="008A5644">
      <w:pPr>
        <w:spacing w:after="120"/>
      </w:pPr>
      <w:r>
        <w:rPr>
          <w:i/>
        </w:rPr>
        <w:t>Exercise 8</w:t>
      </w:r>
      <w:r>
        <w:t>:</w:t>
      </w:r>
      <w:r w:rsidR="00074334">
        <w:t xml:space="preserve"> </w:t>
      </w:r>
      <w:r>
        <w:t>Why does Heidegger</w:t>
      </w:r>
      <w:r w:rsidR="001F13E4">
        <w:t xml:space="preserve"> say </w:t>
      </w:r>
      <w:r w:rsidR="001F13E4" w:rsidRPr="001F13E4">
        <w:t>that</w:t>
      </w:r>
      <w:r w:rsidR="001F13E4" w:rsidRPr="001F13E4">
        <w:rPr>
          <w:b/>
        </w:rPr>
        <w:t xml:space="preserve"> </w:t>
      </w:r>
      <w:r w:rsidR="001F13E4" w:rsidRPr="001F13E4">
        <w:t>“the</w:t>
      </w:r>
      <w:r w:rsidR="001F13E4">
        <w:t xml:space="preserve"> expression ‘self-care,’</w:t>
      </w:r>
      <w:r w:rsidR="001F13E4" w:rsidRPr="001F13E4">
        <w:t xml:space="preserve"> in </w:t>
      </w:r>
      <w:r w:rsidR="001F13E4">
        <w:t>analogy with ‘taking-care’ and ‘</w:t>
      </w:r>
      <w:r w:rsidR="001F13E4" w:rsidRPr="001F13E4">
        <w:t>ca</w:t>
      </w:r>
      <w:r w:rsidR="001F13E4">
        <w:t>ring-for,’</w:t>
      </w:r>
      <w:r w:rsidR="001F13E4" w:rsidRPr="001F13E4">
        <w:t xml:space="preserve"> would be a tautology”</w:t>
      </w:r>
      <w:r w:rsidR="001F13E4">
        <w:t xml:space="preserve"> (p. 193)</w:t>
      </w:r>
      <w:r w:rsidR="001F13E4" w:rsidRPr="001F13E4">
        <w:t xml:space="preserve">?  </w:t>
      </w:r>
    </w:p>
    <w:p w:rsidR="001F13E4" w:rsidRPr="001F13E4" w:rsidRDefault="004E45A0" w:rsidP="008A5644">
      <w:pPr>
        <w:spacing w:after="120"/>
      </w:pPr>
      <w:r>
        <w:rPr>
          <w:i/>
        </w:rPr>
        <w:t>Exercise 9</w:t>
      </w:r>
      <w:r w:rsidR="001F13E4">
        <w:t xml:space="preserve">: One of the main advances in </w:t>
      </w:r>
      <w:r w:rsidR="001F13E4" w:rsidRPr="00074334">
        <w:rPr>
          <w:iCs/>
          <w:w w:val="102"/>
        </w:rPr>
        <w:t>§</w:t>
      </w:r>
      <w:r w:rsidR="001F13E4" w:rsidRPr="00074334">
        <w:rPr>
          <w:iCs/>
        </w:rPr>
        <w:t>41</w:t>
      </w:r>
      <w:r w:rsidR="001F13E4">
        <w:rPr>
          <w:iCs/>
        </w:rPr>
        <w:t xml:space="preserve"> is Heidegger’s characterization of the fact that Dasein is the entity that in its being revolves around its own being</w:t>
      </w:r>
      <w:r w:rsidR="00D728F8">
        <w:rPr>
          <w:iCs/>
        </w:rPr>
        <w:t>.  On pp. 191-192, Heidegger de</w:t>
      </w:r>
      <w:r w:rsidR="00A32118">
        <w:rPr>
          <w:iCs/>
        </w:rPr>
        <w:t xml:space="preserve">scribes this </w:t>
      </w:r>
      <w:r w:rsidR="00D728F8">
        <w:rPr>
          <w:iCs/>
        </w:rPr>
        <w:t>as</w:t>
      </w:r>
      <w:r w:rsidR="001F13E4">
        <w:rPr>
          <w:iCs/>
        </w:rPr>
        <w:t xml:space="preserve"> Dasein’s being “out ahead of itself,” or “abov</w:t>
      </w:r>
      <w:r w:rsidR="00D728F8">
        <w:rPr>
          <w:iCs/>
        </w:rPr>
        <w:t>e and beyond itself</w:t>
      </w:r>
      <w:r w:rsidR="001F13E4">
        <w:rPr>
          <w:iCs/>
        </w:rPr>
        <w:t>.</w:t>
      </w:r>
      <w:r w:rsidR="00D728F8">
        <w:rPr>
          <w:iCs/>
        </w:rPr>
        <w:t>”</w:t>
      </w:r>
      <w:r w:rsidR="001F13E4">
        <w:rPr>
          <w:iCs/>
        </w:rPr>
        <w:t xml:space="preserve">  What </w:t>
      </w:r>
      <w:r w:rsidR="00D728F8">
        <w:rPr>
          <w:iCs/>
        </w:rPr>
        <w:t>phenomenon is he trying to indicate with these synonymous terms</w:t>
      </w:r>
      <w:r w:rsidR="001F13E4">
        <w:rPr>
          <w:iCs/>
        </w:rPr>
        <w:t>?</w:t>
      </w:r>
    </w:p>
    <w:p w:rsidR="00074334" w:rsidRDefault="004E45A0" w:rsidP="008A5644">
      <w:pPr>
        <w:spacing w:after="120"/>
      </w:pPr>
      <w:r>
        <w:rPr>
          <w:i/>
          <w:iCs/>
        </w:rPr>
        <w:t>Exercise 10</w:t>
      </w:r>
      <w:r w:rsidR="001F13E4">
        <w:rPr>
          <w:iCs/>
        </w:rPr>
        <w:t xml:space="preserve">: The concluding paragraphs of </w:t>
      </w:r>
      <w:r w:rsidR="001F13E4" w:rsidRPr="00074334">
        <w:rPr>
          <w:iCs/>
          <w:w w:val="102"/>
        </w:rPr>
        <w:t>§</w:t>
      </w:r>
      <w:r w:rsidR="001F13E4" w:rsidRPr="00074334">
        <w:rPr>
          <w:iCs/>
        </w:rPr>
        <w:t>41</w:t>
      </w:r>
      <w:r w:rsidR="001F13E4">
        <w:rPr>
          <w:iCs/>
        </w:rPr>
        <w:t>, especially pp. 195-196, haven’t received a lot of discussion</w:t>
      </w:r>
      <w:r w:rsidR="0029477D">
        <w:rPr>
          <w:iCs/>
        </w:rPr>
        <w:t xml:space="preserve"> in the vast literature on Heidegger</w:t>
      </w:r>
      <w:r w:rsidR="00D728F8">
        <w:rPr>
          <w:iCs/>
        </w:rPr>
        <w:t xml:space="preserve">, but I’ve placed them in </w:t>
      </w:r>
      <w:r w:rsidR="00D728F8">
        <w:rPr>
          <w:b/>
          <w:iCs/>
        </w:rPr>
        <w:t>bold</w:t>
      </w:r>
      <w:r w:rsidR="00D728F8">
        <w:rPr>
          <w:iCs/>
        </w:rPr>
        <w:t xml:space="preserve"> </w:t>
      </w:r>
      <w:r w:rsidR="001F13E4">
        <w:rPr>
          <w:iCs/>
        </w:rPr>
        <w:t xml:space="preserve">here because they address </w:t>
      </w:r>
      <w:r w:rsidR="0029477D">
        <w:rPr>
          <w:iCs/>
        </w:rPr>
        <w:t>phenomena</w:t>
      </w:r>
      <w:r w:rsidR="001F13E4">
        <w:rPr>
          <w:iCs/>
        </w:rPr>
        <w:t xml:space="preserve"> that have become familiar to us through our study of </w:t>
      </w:r>
      <w:proofErr w:type="spellStart"/>
      <w:r w:rsidR="001F13E4">
        <w:rPr>
          <w:iCs/>
        </w:rPr>
        <w:t>Merleau-Ponty</w:t>
      </w:r>
      <w:proofErr w:type="spellEnd"/>
      <w:r w:rsidR="001F13E4">
        <w:rPr>
          <w:iCs/>
        </w:rPr>
        <w:t>: habit and instinct.  (You’ll see from one of the last endnotes in this section that I have to do some arguing for these translations</w:t>
      </w:r>
      <w:r w:rsidR="00BE0E4C">
        <w:rPr>
          <w:iCs/>
        </w:rPr>
        <w:t xml:space="preserve"> of Heidegger’s terms “</w:t>
      </w:r>
      <w:r w:rsidR="00BE0E4C">
        <w:rPr>
          <w:i/>
          <w:iCs/>
        </w:rPr>
        <w:t xml:space="preserve">Hang und </w:t>
      </w:r>
      <w:proofErr w:type="spellStart"/>
      <w:r w:rsidR="00BE0E4C">
        <w:rPr>
          <w:i/>
          <w:iCs/>
        </w:rPr>
        <w:t>Drang</w:t>
      </w:r>
      <w:proofErr w:type="spellEnd"/>
      <w:r w:rsidR="001F13E4">
        <w:rPr>
          <w:iCs/>
        </w:rPr>
        <w:t>.</w:t>
      </w:r>
      <w:r w:rsidR="00BE0E4C">
        <w:rPr>
          <w:iCs/>
        </w:rPr>
        <w:t>”</w:t>
      </w:r>
      <w:r w:rsidR="001F13E4">
        <w:rPr>
          <w:iCs/>
        </w:rPr>
        <w:t>)  How</w:t>
      </w:r>
      <w:r>
        <w:rPr>
          <w:iCs/>
        </w:rPr>
        <w:t>, briefly,</w:t>
      </w:r>
      <w:r w:rsidR="001F13E4">
        <w:rPr>
          <w:iCs/>
        </w:rPr>
        <w:t xml:space="preserve"> does what Heidegger says about these related phenomena </w:t>
      </w:r>
      <w:r w:rsidR="00231EFB">
        <w:rPr>
          <w:iCs/>
        </w:rPr>
        <w:t>coincide</w:t>
      </w:r>
      <w:r w:rsidR="001F13E4">
        <w:rPr>
          <w:iCs/>
        </w:rPr>
        <w:t xml:space="preserve"> with </w:t>
      </w:r>
      <w:proofErr w:type="spellStart"/>
      <w:r w:rsidR="001F13E4">
        <w:rPr>
          <w:iCs/>
        </w:rPr>
        <w:t>Merleau-Ponty’s</w:t>
      </w:r>
      <w:proofErr w:type="spellEnd"/>
      <w:r w:rsidR="001F13E4">
        <w:rPr>
          <w:iCs/>
        </w:rPr>
        <w:t xml:space="preserve"> views of </w:t>
      </w:r>
      <w:r w:rsidR="00D54ED3">
        <w:rPr>
          <w:iCs/>
        </w:rPr>
        <w:t>the</w:t>
      </w:r>
      <w:r w:rsidR="001F13E4">
        <w:rPr>
          <w:iCs/>
        </w:rPr>
        <w:t xml:space="preserve"> matters?</w:t>
      </w:r>
    </w:p>
    <w:sectPr w:rsidR="0007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D"/>
    <w:rsid w:val="000453BB"/>
    <w:rsid w:val="00046780"/>
    <w:rsid w:val="000507A9"/>
    <w:rsid w:val="00074334"/>
    <w:rsid w:val="00076C37"/>
    <w:rsid w:val="00093269"/>
    <w:rsid w:val="000F2282"/>
    <w:rsid w:val="001D722C"/>
    <w:rsid w:val="001E1DD3"/>
    <w:rsid w:val="001F13E4"/>
    <w:rsid w:val="00207893"/>
    <w:rsid w:val="002154E0"/>
    <w:rsid w:val="00231EFB"/>
    <w:rsid w:val="00274D16"/>
    <w:rsid w:val="0029477D"/>
    <w:rsid w:val="002C710C"/>
    <w:rsid w:val="002E58F1"/>
    <w:rsid w:val="00324A6D"/>
    <w:rsid w:val="003606DE"/>
    <w:rsid w:val="00380EF6"/>
    <w:rsid w:val="003E7BC6"/>
    <w:rsid w:val="004B2D24"/>
    <w:rsid w:val="004C37DC"/>
    <w:rsid w:val="004D3AA1"/>
    <w:rsid w:val="004E45A0"/>
    <w:rsid w:val="00504DC4"/>
    <w:rsid w:val="00521978"/>
    <w:rsid w:val="005272AB"/>
    <w:rsid w:val="00557E25"/>
    <w:rsid w:val="0059544D"/>
    <w:rsid w:val="005978A3"/>
    <w:rsid w:val="005A3BFB"/>
    <w:rsid w:val="005B5E9B"/>
    <w:rsid w:val="005D4CA7"/>
    <w:rsid w:val="00620A71"/>
    <w:rsid w:val="0065056F"/>
    <w:rsid w:val="00656148"/>
    <w:rsid w:val="0070640E"/>
    <w:rsid w:val="007169C2"/>
    <w:rsid w:val="00737CD2"/>
    <w:rsid w:val="00821B9E"/>
    <w:rsid w:val="008A5644"/>
    <w:rsid w:val="008B7A30"/>
    <w:rsid w:val="00907F78"/>
    <w:rsid w:val="00961ED1"/>
    <w:rsid w:val="00A1146B"/>
    <w:rsid w:val="00A21848"/>
    <w:rsid w:val="00A32118"/>
    <w:rsid w:val="00A8326C"/>
    <w:rsid w:val="00A97F98"/>
    <w:rsid w:val="00AB1FF6"/>
    <w:rsid w:val="00AD285D"/>
    <w:rsid w:val="00AD3296"/>
    <w:rsid w:val="00B44801"/>
    <w:rsid w:val="00B87931"/>
    <w:rsid w:val="00BE0E4C"/>
    <w:rsid w:val="00C14EF2"/>
    <w:rsid w:val="00C27340"/>
    <w:rsid w:val="00C57F99"/>
    <w:rsid w:val="00CB4758"/>
    <w:rsid w:val="00D54ED3"/>
    <w:rsid w:val="00D728F8"/>
    <w:rsid w:val="00E94137"/>
    <w:rsid w:val="00F14FBB"/>
    <w:rsid w:val="00F50CB3"/>
    <w:rsid w:val="00F9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A5097-E9DC-45B0-8005-08D934B9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56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A56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A5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56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Boedeker</dc:creator>
  <cp:keywords/>
  <dc:description/>
  <cp:lastModifiedBy>Edgar C Boedeker</cp:lastModifiedBy>
  <cp:revision>2</cp:revision>
  <dcterms:created xsi:type="dcterms:W3CDTF">2017-11-01T03:06:00Z</dcterms:created>
  <dcterms:modified xsi:type="dcterms:W3CDTF">2017-11-01T03:06:00Z</dcterms:modified>
</cp:coreProperties>
</file>